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sz w:val="28"/>
          <w:szCs w:val="28"/>
          <w:rtl w:val="0"/>
        </w:rPr>
        <w:t xml:space="preserve">Retrouvez la liste des outils cités au long de la formation dans ce document pdf à télécharger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sz w:val="28"/>
          <w:szCs w:val="28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sz w:val="28"/>
            <w:szCs w:val="28"/>
            <w:u w:val="single"/>
            <w:rtl w:val="0"/>
          </w:rPr>
          <w:t xml:space="preserve">Liste des Outils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N9a3e6Mf_mdE9zWA1yeEPtY7A-t1laUrbR2Kfer9sp0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